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8B" w:rsidRPr="009F2BD0" w:rsidRDefault="009F2BD0" w:rsidP="009F2BD0">
      <w:pPr>
        <w:bidi/>
        <w:spacing w:before="240"/>
        <w:jc w:val="right"/>
        <w:rPr>
          <w:rFonts w:ascii="Arial Unicode MS" w:eastAsia="Arial Unicode MS" w:hAnsi="Arial Unicode MS" w:cs="David"/>
          <w:sz w:val="24"/>
          <w:szCs w:val="24"/>
          <w:rtl/>
        </w:rPr>
      </w:pPr>
      <w:r w:rsidRPr="009F2BD0">
        <w:rPr>
          <w:rFonts w:ascii="Arial Unicode MS" w:eastAsia="Arial Unicode MS" w:hAnsi="Arial Unicode MS" w:cs="David" w:hint="cs"/>
          <w:sz w:val="24"/>
          <w:szCs w:val="24"/>
          <w:rtl/>
        </w:rPr>
        <w:t>1 בינואר, 2023</w:t>
      </w:r>
    </w:p>
    <w:p w:rsidR="0019303E" w:rsidRPr="00024FF2" w:rsidRDefault="009F2BD0" w:rsidP="009F2BD0">
      <w:pPr>
        <w:bidi/>
        <w:spacing w:after="0" w:line="360" w:lineRule="auto"/>
        <w:jc w:val="center"/>
        <w:rPr>
          <w:rFonts w:ascii="Arial Unicode MS" w:eastAsia="Arial Unicode MS" w:hAnsi="Arial Unicode MS" w:cs="David"/>
          <w:b/>
          <w:bCs/>
          <w:sz w:val="30"/>
          <w:szCs w:val="30"/>
          <w:u w:val="single"/>
          <w:rtl/>
        </w:rPr>
      </w:pPr>
      <w:r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 xml:space="preserve">עיקרי </w:t>
      </w:r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 xml:space="preserve">מדיניות הצבעה </w:t>
      </w:r>
      <w:proofErr w:type="spellStart"/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>באס</w:t>
      </w:r>
      <w:r w:rsidR="00153A8B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>י</w:t>
      </w:r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>פות</w:t>
      </w:r>
      <w:proofErr w:type="spellEnd"/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 xml:space="preserve"> כלליות</w:t>
      </w:r>
    </w:p>
    <w:p w:rsidR="0019303E" w:rsidRDefault="004C4F51" w:rsidP="00D873EE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קרן השתלמות למשפטנים בע"מ</w:t>
      </w:r>
      <w:bookmarkStart w:id="0" w:name="_GoBack"/>
      <w:bookmarkEnd w:id="0"/>
      <w:r w:rsidR="00D873E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>("</w:t>
      </w:r>
      <w:r w:rsidR="00A50770"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החברה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") רואה חשיבות עליונה בהשתתפותה </w:t>
      </w:r>
      <w:proofErr w:type="spellStart"/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כלליות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של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חברות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בהן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השקיעה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("</w:t>
      </w:r>
      <w:proofErr w:type="spellStart"/>
      <w:r w:rsidR="00A50770"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אסיפות</w:t>
      </w:r>
      <w:proofErr w:type="spellEnd"/>
      <w:r w:rsidR="00A50770" w:rsidRPr="00CC44BD">
        <w:rPr>
          <w:rFonts w:ascii="Arial Unicode MS" w:eastAsia="Arial Unicode MS" w:hAnsi="Arial Unicode MS" w:cs="David"/>
          <w:b/>
          <w:bCs/>
          <w:sz w:val="24"/>
          <w:szCs w:val="24"/>
          <w:rtl/>
        </w:rPr>
        <w:t xml:space="preserve"> כלליות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").  </w:t>
      </w:r>
    </w:p>
    <w:p w:rsidR="009F2BD0" w:rsidRDefault="00A50770" w:rsidP="009F2BD0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החברה משתתפת </w:t>
      </w:r>
      <w:proofErr w:type="spellStart"/>
      <w:r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 ופועלת בהתאם ל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תקנות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הפיקוח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על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שירותים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פיננסיים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(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קופות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גמל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) (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השתתפות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חברה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מנהלת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באסיפה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כללית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),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התשס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"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ט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-2009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("</w:t>
      </w:r>
      <w:r w:rsidR="006C657B"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התקנות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")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וחוזר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גופים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מוסדיים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2014-9-6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הגברת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מעורבות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הגופים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המוסדיים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בשוק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ההון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בישראל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("</w:t>
      </w:r>
      <w:r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החוזר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")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בהתאם להוראותיו של החוזר, החברה מפרסמת את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עיקרי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מדיניות ההצבעה </w:t>
      </w:r>
      <w:proofErr w:type="spellStart"/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 בהתאם לנושאים שונים,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>כאמור בתקנות</w:t>
      </w:r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ועדת ההשקעות של החברה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בוחנת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באופן שוטף את מדיניות ההצבעה שלה כאמור,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>וככל שיתבצע שינוי במדיניות כאמור, הוא יפורסם ב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תוך 14 ימי עסקים ממועד העדכון. </w:t>
      </w:r>
    </w:p>
    <w:p w:rsidR="00FF4F64" w:rsidRDefault="006C657B" w:rsidP="00FF4F64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לשם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מימוש חובת השתתפותה </w:t>
      </w:r>
      <w:proofErr w:type="spellStart"/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התקשרה החברה 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עם חברת </w:t>
      </w:r>
      <w:r w:rsidR="00024FF2" w:rsidRPr="009F2BD0">
        <w:rPr>
          <w:rFonts w:ascii="Arial Unicode MS" w:eastAsia="Arial Unicode MS" w:hAnsi="Arial Unicode MS" w:cs="David" w:hint="cs"/>
          <w:sz w:val="24"/>
          <w:szCs w:val="24"/>
          <w:rtl/>
        </w:rPr>
        <w:t>עמדה מחקר כלכלי בע"מ</w:t>
      </w:r>
      <w:r w:rsidR="00024FF2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(להלן: </w:t>
      </w:r>
      <w:r w:rsidRPr="00024FF2">
        <w:rPr>
          <w:rFonts w:ascii="Arial Unicode MS" w:eastAsia="Arial Unicode MS" w:hAnsi="Arial Unicode MS" w:cs="David" w:hint="cs"/>
          <w:sz w:val="24"/>
          <w:szCs w:val="24"/>
          <w:rtl/>
        </w:rPr>
        <w:t>"</w:t>
      </w:r>
      <w:r w:rsidRPr="00024FF2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הגורם</w:t>
      </w:r>
      <w:r w:rsidRPr="00024FF2">
        <w:rPr>
          <w:rFonts w:ascii="Arial Unicode MS" w:eastAsia="Arial Unicode MS" w:hAnsi="Arial Unicode MS" w:cs="David"/>
          <w:b/>
          <w:bCs/>
          <w:sz w:val="24"/>
          <w:szCs w:val="24"/>
          <w:rtl/>
        </w:rPr>
        <w:t xml:space="preserve"> </w:t>
      </w:r>
      <w:r w:rsidRPr="00024FF2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המקצועי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>"), לצורך</w:t>
      </w:r>
      <w:r w:rsidRPr="0019303E">
        <w:rPr>
          <w:rFonts w:ascii="Arial Unicode MS" w:eastAsia="Arial Unicode MS" w:hAnsi="Arial Unicode MS" w:cs="David"/>
          <w:sz w:val="24"/>
          <w:szCs w:val="24"/>
          <w:rtl/>
        </w:rPr>
        <w:t xml:space="preserve"> גיבוש המלצות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להצבעה </w:t>
      </w:r>
      <w:proofErr w:type="spellStart"/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כלליות.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ההתקשרות עם הגורם המקצועי או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>שרה על ידי ועדת ההשקעות כנדרש.</w:t>
      </w:r>
    </w:p>
    <w:p w:rsidR="00C4648A" w:rsidRPr="001870E6" w:rsidRDefault="009F2BD0" w:rsidP="00FF4F64">
      <w:pPr>
        <w:bidi/>
        <w:spacing w:before="120" w:after="120" w:line="360" w:lineRule="auto"/>
        <w:jc w:val="both"/>
        <w:rPr>
          <w:rFonts w:ascii="Cooper Black" w:hAnsi="Cooper Black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ועדת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ההשקעות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של החברה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החליטה לאמץ את מסמך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מדיניות ההצבעה של הגורם המקצועי. לפיכך, </w:t>
      </w:r>
      <w:r w:rsidR="00DD3CC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החברה תצביע </w:t>
      </w:r>
      <w:proofErr w:type="spellStart"/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באס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י</w:t>
      </w:r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פות</w:t>
      </w:r>
      <w:proofErr w:type="spellEnd"/>
      <w:r w:rsidR="00DD3CC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בהסתמך על קריטריונים המפורטים 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במדיניות הגורם המקצועי, למעט בכל הנוגע להחלטות הנוגעות לאישור שכר בכירים. בנושא זה,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בהתאם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להחלט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ת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ועדת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ההשקעות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ובניגוד למדיניות הגורם המקצועי,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החליטה החברה על החלת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הוראות </w:t>
      </w:r>
      <w:r w:rsidR="00164C36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חוק שכר הבכירים במגזר הפיננסי 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>על</w:t>
      </w:r>
      <w:r w:rsidR="00164C36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 החברות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במשק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, ו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לפיכך החברה תצביע נגד הצעות שכר אשר </w:t>
      </w:r>
      <w:r w:rsidR="007F2118">
        <w:rPr>
          <w:rFonts w:ascii="Cooper Black" w:hAnsi="Cooper Black" w:cs="David" w:hint="cs"/>
          <w:sz w:val="24"/>
          <w:szCs w:val="24"/>
          <w:rtl/>
        </w:rPr>
        <w:t xml:space="preserve">עלות </w:t>
      </w:r>
      <w:r w:rsidR="00FF4F64">
        <w:rPr>
          <w:rFonts w:ascii="Cooper Black" w:hAnsi="Cooper Black" w:cs="David" w:hint="cs"/>
          <w:sz w:val="24"/>
          <w:szCs w:val="24"/>
          <w:rtl/>
        </w:rPr>
        <w:t xml:space="preserve">השכר בהן </w:t>
      </w:r>
      <w:r w:rsidR="007F2118">
        <w:rPr>
          <w:rFonts w:ascii="Cooper Black" w:hAnsi="Cooper Black" w:cs="David" w:hint="cs"/>
          <w:sz w:val="24"/>
          <w:szCs w:val="24"/>
          <w:rtl/>
        </w:rPr>
        <w:t xml:space="preserve">עולה על 2,730,000 </w:t>
      </w:r>
      <w:r w:rsidR="007F2118">
        <w:rPr>
          <w:rFonts w:ascii="Cooper Black" w:hAnsi="Cooper Black" w:cs="David" w:hint="eastAsia"/>
          <w:sz w:val="24"/>
          <w:szCs w:val="24"/>
          <w:rtl/>
        </w:rPr>
        <w:t>₪</w:t>
      </w:r>
      <w:r w:rsidR="007F2118">
        <w:rPr>
          <w:rFonts w:ascii="Cooper Black" w:hAnsi="Cooper Black" w:cs="David" w:hint="cs"/>
          <w:sz w:val="24"/>
          <w:szCs w:val="24"/>
          <w:rtl/>
        </w:rPr>
        <w:t xml:space="preserve"> .</w:t>
      </w:r>
    </w:p>
    <w:p w:rsidR="001B3C79" w:rsidRDefault="00FF4F64" w:rsidP="00FF4F64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יובהר כי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במקרים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בהם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הגורם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המקצועי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לא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מספק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את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המלצתו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,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החברה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תבחן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את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אופן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הצבעתה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באסיפה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הכללית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באמצעות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הגורמים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המקצועיים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הפנימיים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העומדים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לרשותה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כמו כן,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החברה נוהגת בהתאם להוראות התקנות בכל הנוגע למקרים הספציפיים בהם נדרש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>לקבל את אישור רוב הנציגים החיצוניים בו</w:t>
      </w:r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ו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>עדת ההש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קעות לטובת הצבעתה באסיפה הכללית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. </w:t>
      </w:r>
    </w:p>
    <w:p w:rsidR="001B3C79" w:rsidRPr="0099118E" w:rsidRDefault="00FF4F64" w:rsidP="00FF4F64">
      <w:pPr>
        <w:bidi/>
        <w:spacing w:after="0" w:line="360" w:lineRule="auto"/>
        <w:ind w:left="4" w:hanging="4"/>
        <w:jc w:val="both"/>
        <w:rPr>
          <w:rFonts w:ascii="Arial Unicode MS" w:eastAsia="Arial Unicode MS" w:hAnsi="Arial Unicode MS" w:cs="David"/>
          <w:sz w:val="24"/>
          <w:szCs w:val="24"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לבסוף יובהר</w:t>
      </w:r>
      <w:r>
        <w:rPr>
          <w:rFonts w:ascii="Arial Unicode MS" w:eastAsia="Arial Unicode MS" w:hAnsi="Arial Unicode MS" w:cs="David"/>
          <w:sz w:val="24"/>
          <w:szCs w:val="24"/>
          <w:rtl/>
        </w:rPr>
        <w:t xml:space="preserve">, 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>מבלי לגרוע מהאמור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לעיל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כי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>החברה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רשאית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 לסטות מהמלצות ההצבעה של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הגורם המקצועי,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והכל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בכפוף לאישור </w:t>
      </w:r>
      <w:r w:rsidR="00D8774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מראש של 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 ועדת ההשקעות.</w:t>
      </w:r>
    </w:p>
    <w:p w:rsidR="001B3C79" w:rsidRPr="001B3C79" w:rsidRDefault="001B3C79" w:rsidP="00C4648A">
      <w:pPr>
        <w:bidi/>
        <w:spacing w:after="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</w:p>
    <w:p w:rsidR="00100B1B" w:rsidRPr="0019303E" w:rsidRDefault="00100B1B">
      <w:pPr>
        <w:autoSpaceDE w:val="0"/>
        <w:autoSpaceDN w:val="0"/>
        <w:bidi/>
        <w:adjustRightInd w:val="0"/>
        <w:spacing w:after="0" w:line="240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sectPr w:rsidR="00100B1B" w:rsidRPr="0019303E" w:rsidSect="00B67EB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A1" w:rsidRDefault="00D22AA1" w:rsidP="00153A8B">
      <w:pPr>
        <w:spacing w:after="0" w:line="240" w:lineRule="auto"/>
      </w:pPr>
      <w:r>
        <w:separator/>
      </w:r>
    </w:p>
  </w:endnote>
  <w:endnote w:type="continuationSeparator" w:id="0">
    <w:p w:rsidR="00D22AA1" w:rsidRDefault="00D22AA1" w:rsidP="0015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Arial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A1" w:rsidRDefault="00D22AA1" w:rsidP="00153A8B">
      <w:pPr>
        <w:spacing w:after="0" w:line="240" w:lineRule="auto"/>
      </w:pPr>
      <w:r>
        <w:separator/>
      </w:r>
    </w:p>
  </w:footnote>
  <w:footnote w:type="continuationSeparator" w:id="0">
    <w:p w:rsidR="00D22AA1" w:rsidRDefault="00D22AA1" w:rsidP="0015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0E" w:rsidRDefault="00E735C2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-125095</wp:posOffset>
          </wp:positionV>
          <wp:extent cx="868045" cy="1068070"/>
          <wp:effectExtent l="0" t="0" r="8255" b="0"/>
          <wp:wrapNone/>
          <wp:docPr id="1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080E" w:rsidRDefault="0062080E">
    <w:pPr>
      <w:pStyle w:val="a3"/>
      <w:rPr>
        <w:noProof/>
      </w:rPr>
    </w:pPr>
  </w:p>
  <w:p w:rsidR="0062080E" w:rsidRDefault="0062080E">
    <w:pPr>
      <w:pStyle w:val="a3"/>
      <w:rPr>
        <w:noProof/>
      </w:rPr>
    </w:pPr>
  </w:p>
  <w:p w:rsidR="0062080E" w:rsidRDefault="0062080E">
    <w:pPr>
      <w:pStyle w:val="a3"/>
      <w:rPr>
        <w:noProof/>
      </w:rPr>
    </w:pPr>
  </w:p>
  <w:p w:rsidR="0062080E" w:rsidRDefault="0062080E">
    <w:pPr>
      <w:pStyle w:val="a3"/>
      <w:rPr>
        <w:noProof/>
      </w:rPr>
    </w:pPr>
  </w:p>
  <w:p w:rsidR="00153A8B" w:rsidRDefault="00153A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423B"/>
    <w:multiLevelType w:val="hybridMultilevel"/>
    <w:tmpl w:val="48E6F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770D"/>
    <w:multiLevelType w:val="multilevel"/>
    <w:tmpl w:val="FFA2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DC"/>
    <w:rsid w:val="00024FF2"/>
    <w:rsid w:val="000318F1"/>
    <w:rsid w:val="000509BC"/>
    <w:rsid w:val="000A1F6E"/>
    <w:rsid w:val="000C15E9"/>
    <w:rsid w:val="00100B1B"/>
    <w:rsid w:val="00153A8B"/>
    <w:rsid w:val="00164C36"/>
    <w:rsid w:val="0018382B"/>
    <w:rsid w:val="0019303E"/>
    <w:rsid w:val="001B3C79"/>
    <w:rsid w:val="001C349F"/>
    <w:rsid w:val="001D2D6F"/>
    <w:rsid w:val="002B750D"/>
    <w:rsid w:val="002D58FA"/>
    <w:rsid w:val="003C69E4"/>
    <w:rsid w:val="00472292"/>
    <w:rsid w:val="004B0DB1"/>
    <w:rsid w:val="004C4F51"/>
    <w:rsid w:val="004D743A"/>
    <w:rsid w:val="004E36FE"/>
    <w:rsid w:val="004F5B21"/>
    <w:rsid w:val="00565F12"/>
    <w:rsid w:val="0062080E"/>
    <w:rsid w:val="00692ED1"/>
    <w:rsid w:val="006935D9"/>
    <w:rsid w:val="006B1B8D"/>
    <w:rsid w:val="006B28A5"/>
    <w:rsid w:val="006B6FC2"/>
    <w:rsid w:val="006C657B"/>
    <w:rsid w:val="006E4894"/>
    <w:rsid w:val="00711757"/>
    <w:rsid w:val="00776E54"/>
    <w:rsid w:val="00786ECE"/>
    <w:rsid w:val="007C4BCA"/>
    <w:rsid w:val="007F2118"/>
    <w:rsid w:val="007F2613"/>
    <w:rsid w:val="008049B2"/>
    <w:rsid w:val="00832284"/>
    <w:rsid w:val="008D30C2"/>
    <w:rsid w:val="008E5D90"/>
    <w:rsid w:val="008F5E18"/>
    <w:rsid w:val="00922E22"/>
    <w:rsid w:val="0099118E"/>
    <w:rsid w:val="00995C09"/>
    <w:rsid w:val="009A06C9"/>
    <w:rsid w:val="009A384B"/>
    <w:rsid w:val="009C7D7F"/>
    <w:rsid w:val="009F2BD0"/>
    <w:rsid w:val="00A00570"/>
    <w:rsid w:val="00A01DDD"/>
    <w:rsid w:val="00A50770"/>
    <w:rsid w:val="00A63125"/>
    <w:rsid w:val="00A76E53"/>
    <w:rsid w:val="00AA16F3"/>
    <w:rsid w:val="00AE0E98"/>
    <w:rsid w:val="00AF6EBB"/>
    <w:rsid w:val="00AF7C0F"/>
    <w:rsid w:val="00B06CD9"/>
    <w:rsid w:val="00B57330"/>
    <w:rsid w:val="00B67EBF"/>
    <w:rsid w:val="00BA256A"/>
    <w:rsid w:val="00BB4279"/>
    <w:rsid w:val="00C22F2D"/>
    <w:rsid w:val="00C4648A"/>
    <w:rsid w:val="00C54D93"/>
    <w:rsid w:val="00CA517C"/>
    <w:rsid w:val="00CC44BD"/>
    <w:rsid w:val="00CD75DC"/>
    <w:rsid w:val="00CF06AF"/>
    <w:rsid w:val="00D22AA1"/>
    <w:rsid w:val="00D5760E"/>
    <w:rsid w:val="00D6431E"/>
    <w:rsid w:val="00D65ED7"/>
    <w:rsid w:val="00D873EE"/>
    <w:rsid w:val="00D87749"/>
    <w:rsid w:val="00DA7058"/>
    <w:rsid w:val="00DB04A5"/>
    <w:rsid w:val="00DD3CC0"/>
    <w:rsid w:val="00DF7696"/>
    <w:rsid w:val="00E1471D"/>
    <w:rsid w:val="00E546D4"/>
    <w:rsid w:val="00E735C2"/>
    <w:rsid w:val="00E77005"/>
    <w:rsid w:val="00E94F3F"/>
    <w:rsid w:val="00ED0C06"/>
    <w:rsid w:val="00F1118C"/>
    <w:rsid w:val="00FE05BE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3D5F38B-CEFC-403C-BBD0-832EB459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53A8B"/>
  </w:style>
  <w:style w:type="paragraph" w:styleId="a5">
    <w:name w:val="footer"/>
    <w:basedOn w:val="a"/>
    <w:link w:val="a6"/>
    <w:uiPriority w:val="99"/>
    <w:unhideWhenUsed/>
    <w:rsid w:val="0015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53A8B"/>
  </w:style>
  <w:style w:type="character" w:customStyle="1" w:styleId="default">
    <w:name w:val="default"/>
    <w:rsid w:val="007C4BCA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B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6B1B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648A"/>
    <w:pPr>
      <w:bidi/>
      <w:spacing w:after="0" w:line="240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</dc:creator>
  <cp:keywords/>
  <cp:lastModifiedBy>Guy Hen</cp:lastModifiedBy>
  <cp:revision>2</cp:revision>
  <dcterms:created xsi:type="dcterms:W3CDTF">2022-12-29T14:58:00Z</dcterms:created>
  <dcterms:modified xsi:type="dcterms:W3CDTF">2022-12-29T14:58:00Z</dcterms:modified>
</cp:coreProperties>
</file>